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F2" w:rsidRPr="00E272F2" w:rsidRDefault="00E272F2" w:rsidP="00E272F2">
      <w:pPr>
        <w:tabs>
          <w:tab w:val="left" w:pos="1980"/>
        </w:tabs>
        <w:spacing w:after="0" w:line="240" w:lineRule="auto"/>
        <w:ind w:right="-232"/>
        <w:jc w:val="center"/>
        <w:rPr>
          <w:rFonts w:ascii="Arial" w:hAnsi="Arial" w:cs="Arial"/>
          <w:b/>
          <w:bCs/>
          <w:color w:val="FF0000"/>
          <w:sz w:val="28"/>
          <w:szCs w:val="28"/>
          <w:lang w:val="es-ES"/>
        </w:rPr>
      </w:pPr>
      <w:r w:rsidRPr="00E272F2">
        <w:rPr>
          <w:rFonts w:ascii="Arial" w:hAnsi="Arial" w:cs="Arial"/>
          <w:b/>
          <w:bCs/>
          <w:color w:val="FF0000"/>
          <w:sz w:val="28"/>
          <w:szCs w:val="28"/>
          <w:lang w:val="es-ES"/>
        </w:rPr>
        <w:t xml:space="preserve">TRAMITE COBRO DE LA MULTA </w:t>
      </w:r>
    </w:p>
    <w:p w:rsidR="00E272F2" w:rsidRPr="00E272F2" w:rsidRDefault="00E272F2" w:rsidP="00E272F2">
      <w:pPr>
        <w:tabs>
          <w:tab w:val="left" w:pos="1980"/>
        </w:tabs>
        <w:spacing w:after="0" w:line="240" w:lineRule="auto"/>
        <w:ind w:right="-232"/>
        <w:jc w:val="center"/>
        <w:rPr>
          <w:rFonts w:ascii="Arial" w:hAnsi="Arial" w:cs="Arial"/>
          <w:b/>
          <w:bCs/>
          <w:color w:val="FF0000"/>
          <w:sz w:val="28"/>
          <w:szCs w:val="28"/>
          <w:lang w:val="es-ES"/>
        </w:rPr>
      </w:pPr>
      <w:r w:rsidRPr="00E272F2">
        <w:rPr>
          <w:rFonts w:ascii="Arial" w:hAnsi="Arial" w:cs="Arial"/>
          <w:b/>
          <w:bCs/>
          <w:color w:val="FF0000"/>
          <w:sz w:val="28"/>
          <w:szCs w:val="28"/>
          <w:lang w:val="es-ES"/>
        </w:rPr>
        <w:t xml:space="preserve">POR EL JUEZ DE LA CAUSA </w:t>
      </w:r>
    </w:p>
    <w:p w:rsidR="00E272F2" w:rsidRPr="00331E4C" w:rsidRDefault="00E272F2" w:rsidP="00E272F2">
      <w:pPr>
        <w:tabs>
          <w:tab w:val="left" w:pos="1980"/>
        </w:tabs>
        <w:spacing w:after="0" w:line="240" w:lineRule="auto"/>
        <w:ind w:right="-232"/>
        <w:jc w:val="center"/>
        <w:rPr>
          <w:rFonts w:ascii="Arial" w:hAnsi="Arial" w:cs="Arial"/>
          <w:bCs/>
          <w:sz w:val="28"/>
          <w:szCs w:val="28"/>
          <w:lang w:val="es-ES"/>
        </w:rPr>
      </w:pPr>
      <w:bookmarkStart w:id="0" w:name="_GoBack"/>
      <w:bookmarkEnd w:id="0"/>
    </w:p>
    <w:p w:rsidR="00E272F2" w:rsidRPr="00331E4C" w:rsidRDefault="00E272F2" w:rsidP="00E272F2">
      <w:pPr>
        <w:tabs>
          <w:tab w:val="left" w:pos="1980"/>
        </w:tabs>
        <w:spacing w:after="0" w:line="240" w:lineRule="auto"/>
        <w:ind w:right="-232"/>
        <w:jc w:val="both"/>
        <w:rPr>
          <w:rFonts w:ascii="Segoe UI" w:hAnsi="Segoe UI" w:cs="Segoe UI"/>
          <w:bCs/>
          <w:sz w:val="28"/>
          <w:szCs w:val="28"/>
          <w:lang w:val="es-ES"/>
        </w:rPr>
      </w:pPr>
      <w:r w:rsidRPr="00331E4C">
        <w:rPr>
          <w:rFonts w:ascii="Arial" w:hAnsi="Arial" w:cs="Arial"/>
          <w:bCs/>
          <w:sz w:val="28"/>
          <w:szCs w:val="28"/>
          <w:lang w:val="es-ES"/>
        </w:rPr>
        <w:t xml:space="preserve">Para el cobro de la multa súrtase el trámite previsto en el </w:t>
      </w:r>
      <w:r w:rsidRPr="00331E4C">
        <w:rPr>
          <w:rFonts w:ascii="Arial" w:hAnsi="Arial" w:cs="Arial"/>
          <w:bCs/>
          <w:sz w:val="28"/>
          <w:szCs w:val="28"/>
          <w:highlight w:val="cyan"/>
          <w:lang w:val="es-ES"/>
        </w:rPr>
        <w:t>artículo 20 de la Ley 1285 de 2009 que modificó el artículo 191 de la Ley 270 de 1996</w:t>
      </w:r>
      <w:r w:rsidRPr="00331E4C">
        <w:rPr>
          <w:rFonts w:ascii="Arial" w:hAnsi="Arial" w:cs="Arial"/>
          <w:bCs/>
          <w:sz w:val="28"/>
          <w:szCs w:val="28"/>
          <w:lang w:val="es-ES"/>
        </w:rPr>
        <w:t>.</w:t>
      </w:r>
    </w:p>
    <w:p w:rsidR="00E272F2" w:rsidRPr="00331E4C" w:rsidRDefault="00E272F2" w:rsidP="00E272F2">
      <w:pPr>
        <w:pStyle w:val="Prrafodelista"/>
        <w:tabs>
          <w:tab w:val="left" w:pos="1980"/>
        </w:tabs>
        <w:spacing w:after="0" w:line="240" w:lineRule="auto"/>
        <w:ind w:right="-232"/>
        <w:jc w:val="both"/>
        <w:rPr>
          <w:rFonts w:ascii="Segoe UI" w:hAnsi="Segoe UI" w:cs="Segoe UI"/>
          <w:bCs/>
          <w:sz w:val="28"/>
          <w:szCs w:val="28"/>
          <w:lang w:val="es-ES"/>
        </w:rPr>
      </w:pP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r w:rsidRPr="00331E4C">
        <w:rPr>
          <w:rFonts w:ascii="Arial" w:hAnsi="Arial" w:cs="Arial"/>
          <w:bCs/>
          <w:i/>
          <w:sz w:val="28"/>
          <w:szCs w:val="28"/>
          <w:lang w:val="es-ES"/>
        </w:rPr>
        <w:t>“</w:t>
      </w:r>
      <w:r w:rsidRPr="00331E4C">
        <w:rPr>
          <w:rFonts w:ascii="Arial" w:hAnsi="Arial" w:cs="Arial"/>
          <w:b/>
          <w:bCs/>
          <w:i/>
          <w:sz w:val="28"/>
          <w:szCs w:val="28"/>
          <w:shd w:val="clear" w:color="auto" w:fill="FFFFFF"/>
        </w:rPr>
        <w:t>Artículo </w:t>
      </w:r>
      <w:bookmarkStart w:id="1" w:name="BM20"/>
      <w:r w:rsidRPr="00331E4C">
        <w:rPr>
          <w:rFonts w:ascii="Arial" w:hAnsi="Arial" w:cs="Arial"/>
          <w:b/>
          <w:bCs/>
          <w:i/>
          <w:sz w:val="28"/>
          <w:szCs w:val="28"/>
          <w:shd w:val="clear" w:color="auto" w:fill="FFFFFF"/>
        </w:rPr>
        <w:t> </w:t>
      </w:r>
      <w:bookmarkStart w:id="2" w:name="20"/>
      <w:bookmarkEnd w:id="1"/>
      <w:r w:rsidRPr="00331E4C">
        <w:rPr>
          <w:rFonts w:ascii="Arial" w:hAnsi="Arial" w:cs="Arial"/>
          <w:b/>
          <w:bCs/>
          <w:i/>
          <w:sz w:val="28"/>
          <w:szCs w:val="28"/>
          <w:shd w:val="clear" w:color="auto" w:fill="FFFFFF"/>
        </w:rPr>
        <w:t> </w:t>
      </w:r>
      <w:bookmarkEnd w:id="2"/>
      <w:r w:rsidRPr="00331E4C">
        <w:rPr>
          <w:rFonts w:ascii="Arial" w:hAnsi="Arial" w:cs="Arial"/>
          <w:b/>
          <w:bCs/>
          <w:i/>
          <w:sz w:val="28"/>
          <w:szCs w:val="28"/>
          <w:shd w:val="clear" w:color="auto" w:fill="FFFFFF"/>
        </w:rPr>
        <w:t>20. Modifíquese el artículo</w:t>
      </w:r>
      <w:r w:rsidRPr="00331E4C">
        <w:rPr>
          <w:rStyle w:val="apple-converted-space"/>
          <w:rFonts w:ascii="Arial" w:hAnsi="Arial" w:cs="Arial"/>
          <w:b/>
          <w:bCs/>
          <w:i/>
          <w:sz w:val="28"/>
          <w:szCs w:val="28"/>
          <w:shd w:val="clear" w:color="auto" w:fill="FFFFFF"/>
        </w:rPr>
        <w:t> </w:t>
      </w:r>
      <w:hyperlink r:id="rId5" w:anchor="191" w:history="1">
        <w:r w:rsidRPr="00331E4C">
          <w:rPr>
            <w:rStyle w:val="Hipervnculo"/>
            <w:rFonts w:ascii="Arial" w:hAnsi="Arial" w:cs="Arial"/>
            <w:b/>
            <w:bCs/>
            <w:i/>
            <w:sz w:val="28"/>
            <w:szCs w:val="28"/>
            <w:shd w:val="clear" w:color="auto" w:fill="FFFFFF"/>
          </w:rPr>
          <w:t>191</w:t>
        </w:r>
      </w:hyperlink>
      <w:r w:rsidRPr="00331E4C">
        <w:rPr>
          <w:rStyle w:val="apple-converted-space"/>
          <w:rFonts w:ascii="Arial" w:hAnsi="Arial" w:cs="Arial"/>
          <w:b/>
          <w:bCs/>
          <w:i/>
          <w:sz w:val="28"/>
          <w:szCs w:val="28"/>
          <w:shd w:val="clear" w:color="auto" w:fill="FFFFFF"/>
        </w:rPr>
        <w:t> </w:t>
      </w:r>
      <w:r w:rsidRPr="00331E4C">
        <w:rPr>
          <w:rFonts w:ascii="Arial" w:hAnsi="Arial" w:cs="Arial"/>
          <w:b/>
          <w:bCs/>
          <w:i/>
          <w:sz w:val="28"/>
          <w:szCs w:val="28"/>
          <w:shd w:val="clear" w:color="auto" w:fill="FFFFFF"/>
        </w:rPr>
        <w:t>de la Ley 270 de 1996, de la siguiente manera:</w:t>
      </w:r>
      <w:r w:rsidRPr="00331E4C">
        <w:rPr>
          <w:rFonts w:ascii="Arial" w:hAnsi="Arial" w:cs="Arial"/>
          <w:bCs/>
          <w:i/>
          <w:sz w:val="28"/>
          <w:szCs w:val="28"/>
          <w:lang w:val="es-ES"/>
        </w:rPr>
        <w:t xml:space="preserve"> </w:t>
      </w:r>
      <w:r w:rsidRPr="00331E4C">
        <w:rPr>
          <w:rFonts w:ascii="Arial" w:hAnsi="Arial" w:cs="Arial"/>
          <w:b/>
          <w:bCs/>
          <w:i/>
          <w:sz w:val="28"/>
          <w:szCs w:val="28"/>
          <w:highlight w:val="yellow"/>
          <w:lang w:val="es-ES"/>
        </w:rPr>
        <w:t>Los dineros que deban consignarse a órdenes de los despachos de la rama judicial de conformidad con lo previsto en la presente ley y en las disposiciones legales vigentes se depositarán en el Banco Agrario de Colombia</w:t>
      </w:r>
      <w:r w:rsidRPr="00331E4C">
        <w:rPr>
          <w:rFonts w:ascii="Arial" w:hAnsi="Arial" w:cs="Arial"/>
          <w:bCs/>
          <w:i/>
          <w:sz w:val="28"/>
          <w:szCs w:val="28"/>
          <w:lang w:val="es-ES"/>
        </w:rPr>
        <w:t xml:space="preserve"> en razón de las condiciones más favorables en materia de rentabilidad, eficiencia en el recaudo, seguridad y demás beneficios a favor de la rama.</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p>
    <w:p w:rsidR="00E272F2" w:rsidRPr="00331E4C" w:rsidRDefault="00E272F2" w:rsidP="00E272F2">
      <w:pPr>
        <w:tabs>
          <w:tab w:val="left" w:pos="1980"/>
        </w:tabs>
        <w:spacing w:after="0" w:line="240" w:lineRule="auto"/>
        <w:ind w:left="709" w:right="707"/>
        <w:jc w:val="both"/>
        <w:rPr>
          <w:rFonts w:ascii="Arial" w:hAnsi="Arial" w:cs="Arial"/>
          <w:b/>
          <w:bCs/>
          <w:i/>
          <w:sz w:val="28"/>
          <w:szCs w:val="28"/>
          <w:lang w:val="es-ES"/>
        </w:rPr>
      </w:pPr>
      <w:r w:rsidRPr="00331E4C">
        <w:rPr>
          <w:rFonts w:ascii="Arial" w:hAnsi="Arial" w:cs="Arial"/>
          <w:b/>
          <w:bCs/>
          <w:i/>
          <w:sz w:val="28"/>
          <w:szCs w:val="28"/>
          <w:highlight w:val="yellow"/>
          <w:lang w:val="es-ES"/>
        </w:rPr>
        <w:t>De la misma manera se procederá respecto de las multas, cauciones y pagos que decreten las autoridades judiciales o de los depósitos que prescriban a favor de la Nación.</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r w:rsidRPr="00331E4C">
        <w:rPr>
          <w:rFonts w:ascii="Arial" w:hAnsi="Arial" w:cs="Arial"/>
          <w:bCs/>
          <w:i/>
          <w:sz w:val="28"/>
          <w:szCs w:val="28"/>
          <w:lang w:val="es-ES"/>
        </w:rPr>
        <w:t>En ningún caso el Banco Agrario de Colombia pagará una tasa inferior al promedio de las cinco mejores tasas de intereses en cuenta de ahorros que se ofrezcan en el mercado, certificado por la Superintendencia Financiera.</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r w:rsidRPr="00331E4C">
        <w:rPr>
          <w:rFonts w:ascii="Arial" w:hAnsi="Arial" w:cs="Arial"/>
          <w:b/>
          <w:bCs/>
          <w:i/>
          <w:sz w:val="28"/>
          <w:szCs w:val="28"/>
          <w:highlight w:val="yellow"/>
          <w:lang w:val="es-ES"/>
        </w:rPr>
        <w:t>PARÁGRAFO. Facúltese al Juez de la causa para que a través del trámite incidental ejecute la multa o caución dentro del mismo proceso</w:t>
      </w:r>
      <w:r w:rsidRPr="00331E4C">
        <w:rPr>
          <w:rFonts w:ascii="Arial" w:hAnsi="Arial" w:cs="Arial"/>
          <w:bCs/>
          <w:i/>
          <w:sz w:val="28"/>
          <w:szCs w:val="28"/>
          <w:highlight w:val="yellow"/>
          <w:lang w:val="es-ES"/>
        </w:rPr>
        <w:t>”.</w:t>
      </w:r>
    </w:p>
    <w:p w:rsidR="00E272F2" w:rsidRPr="00331E4C" w:rsidRDefault="00E272F2" w:rsidP="00E272F2">
      <w:pPr>
        <w:tabs>
          <w:tab w:val="left" w:pos="1980"/>
        </w:tabs>
        <w:spacing w:after="0" w:line="240" w:lineRule="auto"/>
        <w:ind w:right="-232"/>
        <w:jc w:val="both"/>
        <w:rPr>
          <w:rFonts w:ascii="Segoe UI" w:hAnsi="Segoe UI" w:cs="Segoe UI"/>
          <w:bCs/>
          <w:sz w:val="28"/>
          <w:szCs w:val="28"/>
          <w:lang w:val="es-ES"/>
        </w:rPr>
      </w:pPr>
    </w:p>
    <w:p w:rsidR="00E272F2" w:rsidRPr="00331E4C" w:rsidRDefault="00E272F2" w:rsidP="00E272F2">
      <w:pPr>
        <w:tabs>
          <w:tab w:val="left" w:pos="1980"/>
        </w:tabs>
        <w:spacing w:after="0" w:line="240" w:lineRule="auto"/>
        <w:ind w:right="-232"/>
        <w:jc w:val="both"/>
        <w:rPr>
          <w:rFonts w:ascii="Arial" w:hAnsi="Arial" w:cs="Arial"/>
          <w:bCs/>
          <w:sz w:val="28"/>
          <w:szCs w:val="28"/>
          <w:lang w:val="es-ES"/>
        </w:rPr>
      </w:pPr>
      <w:r w:rsidRPr="00331E4C">
        <w:rPr>
          <w:rFonts w:ascii="Arial" w:hAnsi="Arial" w:cs="Arial"/>
          <w:bCs/>
          <w:sz w:val="28"/>
          <w:szCs w:val="28"/>
          <w:lang w:val="es-ES"/>
        </w:rPr>
        <w:t xml:space="preserve">Así mismo debe atenderse a lo dispuesto en el </w:t>
      </w:r>
      <w:r w:rsidRPr="00331E4C">
        <w:rPr>
          <w:rFonts w:ascii="Arial" w:hAnsi="Arial" w:cs="Arial"/>
          <w:bCs/>
          <w:sz w:val="28"/>
          <w:szCs w:val="28"/>
          <w:highlight w:val="cyan"/>
          <w:lang w:val="es-ES"/>
        </w:rPr>
        <w:t>Acuerdo 6979 de 2010 proferido por el Consejo Superior de la Judicatura</w:t>
      </w:r>
      <w:r w:rsidRPr="00331E4C">
        <w:rPr>
          <w:rFonts w:ascii="Arial" w:hAnsi="Arial" w:cs="Arial"/>
          <w:bCs/>
          <w:sz w:val="28"/>
          <w:szCs w:val="28"/>
          <w:lang w:val="es-ES"/>
        </w:rPr>
        <w:t>.</w:t>
      </w:r>
    </w:p>
    <w:p w:rsidR="00E272F2" w:rsidRPr="00331E4C" w:rsidRDefault="00E272F2" w:rsidP="00E272F2">
      <w:pPr>
        <w:tabs>
          <w:tab w:val="left" w:pos="1980"/>
        </w:tabs>
        <w:spacing w:after="0" w:line="240" w:lineRule="auto"/>
        <w:ind w:right="-232"/>
        <w:jc w:val="both"/>
        <w:rPr>
          <w:rFonts w:ascii="Segoe UI" w:hAnsi="Segoe UI" w:cs="Segoe UI"/>
          <w:bCs/>
          <w:sz w:val="28"/>
          <w:szCs w:val="28"/>
          <w:lang w:val="es-ES"/>
        </w:rPr>
      </w:pPr>
    </w:p>
    <w:p w:rsidR="00E272F2" w:rsidRPr="00331E4C" w:rsidRDefault="00E272F2" w:rsidP="00E272F2">
      <w:pPr>
        <w:spacing w:after="0" w:line="240" w:lineRule="auto"/>
        <w:ind w:left="709" w:right="707"/>
        <w:jc w:val="both"/>
        <w:rPr>
          <w:rFonts w:ascii="Arial" w:hAnsi="Arial" w:cs="Arial"/>
          <w:bCs/>
          <w:i/>
          <w:sz w:val="28"/>
          <w:szCs w:val="28"/>
          <w:lang w:val="es-ES"/>
        </w:rPr>
      </w:pPr>
      <w:r w:rsidRPr="00331E4C">
        <w:rPr>
          <w:rFonts w:ascii="Arial" w:hAnsi="Arial" w:cs="Arial"/>
          <w:bCs/>
          <w:i/>
          <w:sz w:val="28"/>
          <w:szCs w:val="28"/>
          <w:highlight w:val="cyan"/>
          <w:lang w:val="es-ES"/>
        </w:rPr>
        <w:t>“</w:t>
      </w:r>
      <w:r w:rsidRPr="00331E4C">
        <w:rPr>
          <w:rFonts w:ascii="Arial" w:hAnsi="Arial" w:cs="Arial"/>
          <w:b/>
          <w:bCs/>
          <w:i/>
          <w:sz w:val="28"/>
          <w:szCs w:val="28"/>
          <w:highlight w:val="cyan"/>
          <w:lang w:val="es-ES"/>
        </w:rPr>
        <w:t xml:space="preserve">ARTÍCULO PRIMERO: </w:t>
      </w:r>
      <w:r w:rsidRPr="00331E4C">
        <w:rPr>
          <w:rFonts w:ascii="Arial" w:hAnsi="Arial" w:cs="Arial"/>
          <w:bCs/>
          <w:i/>
          <w:sz w:val="28"/>
          <w:szCs w:val="28"/>
          <w:highlight w:val="yellow"/>
          <w:lang w:val="es-ES"/>
        </w:rPr>
        <w:t>El cobro de las obligaciones a favor de la Nación – Consejo Superior de la Judicatura se tramitarán por los funcionarios y empleados competentes, así:</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r w:rsidRPr="00331E4C">
        <w:rPr>
          <w:rFonts w:ascii="Arial" w:hAnsi="Arial" w:cs="Arial"/>
          <w:bCs/>
          <w:i/>
          <w:sz w:val="28"/>
          <w:szCs w:val="28"/>
          <w:lang w:val="es-ES"/>
        </w:rPr>
        <w:t>(…)</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p>
    <w:p w:rsidR="00E272F2" w:rsidRPr="00331E4C" w:rsidRDefault="00E272F2" w:rsidP="00E272F2">
      <w:pPr>
        <w:pStyle w:val="Prrafodelista"/>
        <w:numPr>
          <w:ilvl w:val="0"/>
          <w:numId w:val="1"/>
        </w:numPr>
        <w:tabs>
          <w:tab w:val="left" w:pos="1980"/>
        </w:tabs>
        <w:spacing w:after="0" w:line="240" w:lineRule="auto"/>
        <w:ind w:right="707"/>
        <w:jc w:val="both"/>
        <w:rPr>
          <w:rFonts w:ascii="Arial" w:hAnsi="Arial" w:cs="Arial"/>
          <w:bCs/>
          <w:i/>
          <w:sz w:val="28"/>
          <w:szCs w:val="28"/>
          <w:lang w:val="es-ES"/>
        </w:rPr>
      </w:pPr>
      <w:r w:rsidRPr="00331E4C">
        <w:rPr>
          <w:rFonts w:ascii="Arial" w:hAnsi="Arial" w:cs="Arial"/>
          <w:bCs/>
          <w:i/>
          <w:sz w:val="28"/>
          <w:szCs w:val="28"/>
          <w:highlight w:val="yellow"/>
          <w:lang w:val="es-ES"/>
        </w:rPr>
        <w:t>El juez de la causa, a través del trámite incidental</w:t>
      </w:r>
      <w:r w:rsidRPr="00331E4C">
        <w:rPr>
          <w:rFonts w:ascii="Arial" w:hAnsi="Arial" w:cs="Arial"/>
          <w:bCs/>
          <w:i/>
          <w:sz w:val="28"/>
          <w:szCs w:val="28"/>
          <w:lang w:val="es-ES"/>
        </w:rPr>
        <w:t xml:space="preserve">, conforme a la facultad otorgada para ejecutar las multas o cauciones que impongan a partir de la </w:t>
      </w:r>
      <w:r w:rsidRPr="00331E4C">
        <w:rPr>
          <w:rFonts w:ascii="Arial" w:hAnsi="Arial" w:cs="Arial"/>
          <w:bCs/>
          <w:i/>
          <w:sz w:val="28"/>
          <w:szCs w:val="28"/>
          <w:lang w:val="es-ES"/>
        </w:rPr>
        <w:lastRenderedPageBreak/>
        <w:t>entrada en vigencia de la Ley 1285 de 2009, en los términos del parágrafo del artículo 20 de la Ley 1285 de 2009.</w:t>
      </w:r>
    </w:p>
    <w:p w:rsidR="00E272F2" w:rsidRDefault="00E272F2" w:rsidP="00E272F2">
      <w:pPr>
        <w:tabs>
          <w:tab w:val="left" w:pos="1980"/>
        </w:tabs>
        <w:spacing w:after="0" w:line="240" w:lineRule="auto"/>
        <w:ind w:left="709" w:right="707"/>
        <w:jc w:val="both"/>
        <w:rPr>
          <w:rFonts w:ascii="Arial" w:hAnsi="Arial" w:cs="Arial"/>
          <w:bCs/>
          <w:i/>
          <w:sz w:val="28"/>
          <w:szCs w:val="28"/>
          <w:lang w:val="es-ES"/>
        </w:rPr>
      </w:pPr>
      <w:r>
        <w:rPr>
          <w:rFonts w:ascii="Arial" w:hAnsi="Arial" w:cs="Arial"/>
          <w:bCs/>
          <w:i/>
          <w:sz w:val="28"/>
          <w:szCs w:val="28"/>
          <w:lang w:val="es-ES"/>
        </w:rPr>
        <w:t>(…)</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r w:rsidRPr="00331E4C">
        <w:rPr>
          <w:rFonts w:ascii="Arial" w:hAnsi="Arial" w:cs="Arial"/>
          <w:b/>
          <w:bCs/>
          <w:i/>
          <w:sz w:val="28"/>
          <w:szCs w:val="28"/>
          <w:highlight w:val="cyan"/>
          <w:lang w:val="es-ES"/>
        </w:rPr>
        <w:t>ARTICULO SEGUNDO.-</w:t>
      </w:r>
      <w:r w:rsidRPr="00331E4C">
        <w:rPr>
          <w:rFonts w:ascii="Arial" w:hAnsi="Arial" w:cs="Arial"/>
          <w:b/>
          <w:bCs/>
          <w:i/>
          <w:sz w:val="28"/>
          <w:szCs w:val="28"/>
          <w:lang w:val="es-ES"/>
        </w:rPr>
        <w:t xml:space="preserve"> </w:t>
      </w:r>
      <w:r w:rsidRPr="00331E4C">
        <w:rPr>
          <w:rFonts w:ascii="Arial" w:hAnsi="Arial" w:cs="Arial"/>
          <w:bCs/>
          <w:i/>
          <w:sz w:val="28"/>
          <w:szCs w:val="28"/>
          <w:highlight w:val="yellow"/>
          <w:lang w:val="es-ES"/>
        </w:rPr>
        <w:t>La providencia judicial o acto administrativo que imponga una obligación a favor de la Nación - Consejo Superior de la Judicatura deberá contener:</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r w:rsidRPr="00331E4C">
        <w:rPr>
          <w:rFonts w:ascii="Arial" w:hAnsi="Arial" w:cs="Arial"/>
          <w:bCs/>
          <w:i/>
          <w:sz w:val="28"/>
          <w:szCs w:val="28"/>
          <w:lang w:val="es-ES"/>
        </w:rPr>
        <w:t> </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r w:rsidRPr="00331E4C">
        <w:rPr>
          <w:rFonts w:ascii="Arial" w:hAnsi="Arial" w:cs="Arial"/>
          <w:bCs/>
          <w:i/>
          <w:sz w:val="28"/>
          <w:szCs w:val="28"/>
          <w:lang w:val="es-ES"/>
        </w:rPr>
        <w:t>a. Nombres y apellidos completos del sancionado, tipo y número de documento de identificación.</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r w:rsidRPr="00331E4C">
        <w:rPr>
          <w:rFonts w:ascii="Arial" w:hAnsi="Arial" w:cs="Arial"/>
          <w:bCs/>
          <w:i/>
          <w:sz w:val="28"/>
          <w:szCs w:val="28"/>
          <w:lang w:val="es-ES"/>
        </w:rPr>
        <w:t xml:space="preserve">b. Dirección del lugar de habitación o sitio de trabajo del sancionado, consignada en la pertinente actuación. </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r w:rsidRPr="00331E4C">
        <w:rPr>
          <w:rFonts w:ascii="Arial" w:hAnsi="Arial" w:cs="Arial"/>
          <w:bCs/>
          <w:i/>
          <w:sz w:val="28"/>
          <w:szCs w:val="28"/>
          <w:lang w:val="es-ES"/>
        </w:rPr>
        <w:t xml:space="preserve">c. Cuantía de la obligación y término en el cual deba cancelarse. </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r w:rsidRPr="00331E4C">
        <w:rPr>
          <w:rFonts w:ascii="Arial" w:hAnsi="Arial" w:cs="Arial"/>
          <w:bCs/>
          <w:i/>
          <w:sz w:val="28"/>
          <w:szCs w:val="28"/>
          <w:lang w:val="es-ES"/>
        </w:rPr>
        <w:t xml:space="preserve">d. Identificación de la cuenta donde debe realizarse el pago total de la obligación, así: </w:t>
      </w:r>
    </w:p>
    <w:p w:rsidR="00E272F2" w:rsidRPr="00331E4C" w:rsidRDefault="00E272F2" w:rsidP="00E272F2">
      <w:pPr>
        <w:tabs>
          <w:tab w:val="left" w:pos="1980"/>
        </w:tabs>
        <w:spacing w:after="0" w:line="240" w:lineRule="auto"/>
        <w:ind w:left="709" w:right="707"/>
        <w:jc w:val="both"/>
        <w:rPr>
          <w:rFonts w:ascii="Arial" w:hAnsi="Arial" w:cs="Arial"/>
          <w:bCs/>
          <w:i/>
          <w:sz w:val="28"/>
          <w:szCs w:val="28"/>
          <w:lang w:val="es-ES"/>
        </w:rPr>
      </w:pPr>
    </w:p>
    <w:p w:rsidR="00E272F2" w:rsidRPr="00331E4C" w:rsidRDefault="00E272F2" w:rsidP="00E272F2">
      <w:pPr>
        <w:tabs>
          <w:tab w:val="left" w:pos="1980"/>
        </w:tabs>
        <w:spacing w:after="0" w:line="240" w:lineRule="auto"/>
        <w:ind w:left="709" w:right="707"/>
        <w:jc w:val="both"/>
        <w:rPr>
          <w:rFonts w:ascii="Arial" w:hAnsi="Arial" w:cs="Arial"/>
          <w:b/>
          <w:bCs/>
          <w:i/>
          <w:sz w:val="28"/>
          <w:szCs w:val="28"/>
          <w:highlight w:val="yellow"/>
          <w:lang w:val="es-ES"/>
        </w:rPr>
      </w:pPr>
      <w:r w:rsidRPr="00331E4C">
        <w:rPr>
          <w:rFonts w:ascii="Arial" w:hAnsi="Arial" w:cs="Arial"/>
          <w:b/>
          <w:bCs/>
          <w:i/>
          <w:sz w:val="28"/>
          <w:szCs w:val="28"/>
          <w:highlight w:val="yellow"/>
          <w:lang w:val="es-ES"/>
        </w:rPr>
        <w:t>BANCO AGRARIO</w:t>
      </w:r>
    </w:p>
    <w:p w:rsidR="00E272F2" w:rsidRPr="00331E4C" w:rsidRDefault="00E272F2" w:rsidP="00E272F2">
      <w:pPr>
        <w:tabs>
          <w:tab w:val="left" w:pos="1980"/>
        </w:tabs>
        <w:spacing w:after="0" w:line="240" w:lineRule="auto"/>
        <w:ind w:left="709" w:right="707"/>
        <w:jc w:val="both"/>
        <w:rPr>
          <w:rFonts w:ascii="Arial" w:hAnsi="Arial" w:cs="Arial"/>
          <w:b/>
          <w:bCs/>
          <w:i/>
          <w:sz w:val="28"/>
          <w:szCs w:val="28"/>
          <w:highlight w:val="yellow"/>
          <w:lang w:val="es-ES"/>
        </w:rPr>
      </w:pPr>
    </w:p>
    <w:p w:rsidR="00E272F2" w:rsidRPr="00331E4C" w:rsidRDefault="00E272F2" w:rsidP="00E272F2">
      <w:pPr>
        <w:tabs>
          <w:tab w:val="left" w:pos="1980"/>
        </w:tabs>
        <w:spacing w:after="0" w:line="240" w:lineRule="auto"/>
        <w:ind w:left="709" w:right="707"/>
        <w:jc w:val="both"/>
        <w:rPr>
          <w:rFonts w:ascii="Arial" w:hAnsi="Arial" w:cs="Arial"/>
          <w:b/>
          <w:bCs/>
          <w:i/>
          <w:sz w:val="28"/>
          <w:szCs w:val="28"/>
          <w:lang w:val="es-ES"/>
        </w:rPr>
      </w:pPr>
      <w:r w:rsidRPr="00331E4C">
        <w:rPr>
          <w:rFonts w:ascii="Arial" w:hAnsi="Arial" w:cs="Arial"/>
          <w:b/>
          <w:bCs/>
          <w:i/>
          <w:sz w:val="28"/>
          <w:szCs w:val="28"/>
          <w:highlight w:val="yellow"/>
          <w:lang w:val="es-ES"/>
        </w:rPr>
        <w:t>CUENTA DTN MULTAS Y CAUCIONES EFECTIVAS No. 3-0070-000030-4.</w:t>
      </w:r>
      <w:r w:rsidRPr="00331E4C">
        <w:rPr>
          <w:rFonts w:ascii="Arial" w:hAnsi="Arial" w:cs="Arial"/>
          <w:b/>
          <w:bCs/>
          <w:i/>
          <w:sz w:val="28"/>
          <w:szCs w:val="28"/>
          <w:u w:val="single"/>
          <w:lang w:val="es-ES"/>
        </w:rPr>
        <w:t xml:space="preserve"> </w:t>
      </w:r>
    </w:p>
    <w:p w:rsidR="00E272F2" w:rsidRPr="00331E4C" w:rsidRDefault="00E272F2" w:rsidP="00E272F2">
      <w:pPr>
        <w:tabs>
          <w:tab w:val="left" w:pos="1980"/>
        </w:tabs>
        <w:spacing w:after="0" w:line="240" w:lineRule="auto"/>
        <w:ind w:right="-232"/>
        <w:jc w:val="both"/>
        <w:rPr>
          <w:rFonts w:ascii="Arial" w:hAnsi="Arial" w:cs="Arial"/>
          <w:bCs/>
          <w:sz w:val="28"/>
          <w:szCs w:val="28"/>
          <w:lang w:val="es-ES"/>
        </w:rPr>
      </w:pPr>
    </w:p>
    <w:p w:rsidR="00E272F2" w:rsidRPr="00331E4C" w:rsidRDefault="00E272F2" w:rsidP="00E272F2">
      <w:pPr>
        <w:spacing w:after="0" w:line="240" w:lineRule="auto"/>
        <w:jc w:val="both"/>
        <w:rPr>
          <w:rFonts w:ascii="Arial" w:hAnsi="Arial" w:cs="Arial"/>
          <w:sz w:val="28"/>
          <w:szCs w:val="28"/>
        </w:rPr>
      </w:pPr>
    </w:p>
    <w:p w:rsidR="00E272F2" w:rsidRPr="00331E4C" w:rsidRDefault="00E272F2" w:rsidP="00E272F2">
      <w:pPr>
        <w:pStyle w:val="Textoindependiente"/>
        <w:spacing w:line="240" w:lineRule="auto"/>
        <w:rPr>
          <w:b/>
          <w:bCs w:val="0"/>
          <w:sz w:val="28"/>
          <w:szCs w:val="28"/>
        </w:rPr>
      </w:pPr>
    </w:p>
    <w:p w:rsidR="00E272F2" w:rsidRPr="00331E4C" w:rsidRDefault="00E272F2" w:rsidP="00E272F2">
      <w:pPr>
        <w:pStyle w:val="Textoindependiente"/>
        <w:spacing w:line="240" w:lineRule="auto"/>
        <w:rPr>
          <w:b/>
          <w:bCs w:val="0"/>
          <w:sz w:val="28"/>
          <w:szCs w:val="28"/>
        </w:rPr>
      </w:pPr>
      <w:r w:rsidRPr="00331E4C">
        <w:rPr>
          <w:b/>
          <w:bCs w:val="0"/>
          <w:sz w:val="28"/>
          <w:szCs w:val="28"/>
        </w:rPr>
        <w:t>SE NOTIFICA EN ESTRADOS.</w:t>
      </w:r>
    </w:p>
    <w:p w:rsidR="000C231C" w:rsidRDefault="000C231C"/>
    <w:sectPr w:rsidR="000C23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03B5D"/>
    <w:multiLevelType w:val="hybridMultilevel"/>
    <w:tmpl w:val="A2C86BB4"/>
    <w:lvl w:ilvl="0" w:tplc="0EF8A19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F2"/>
    <w:rsid w:val="000C231C"/>
    <w:rsid w:val="007824AD"/>
    <w:rsid w:val="00E272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A4677-0DD6-4EDE-9903-CFC5D62E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F2"/>
    <w:pPr>
      <w:spacing w:after="200" w:line="276" w:lineRule="auto"/>
    </w:pPr>
    <w:rPr>
      <w:rFonts w:ascii="Calibri" w:eastAsia="Times New Roman" w:hAnsi="Calibri" w:cs="Calibri"/>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E272F2"/>
  </w:style>
  <w:style w:type="character" w:styleId="Hipervnculo">
    <w:name w:val="Hyperlink"/>
    <w:uiPriority w:val="99"/>
    <w:semiHidden/>
    <w:unhideWhenUsed/>
    <w:rsid w:val="00E272F2"/>
    <w:rPr>
      <w:color w:val="0000FF"/>
      <w:u w:val="single"/>
    </w:rPr>
  </w:style>
  <w:style w:type="paragraph" w:styleId="Textoindependiente">
    <w:name w:val="Body Text"/>
    <w:basedOn w:val="Normal"/>
    <w:link w:val="TextoindependienteCar"/>
    <w:rsid w:val="00E272F2"/>
    <w:pPr>
      <w:spacing w:after="0" w:line="360" w:lineRule="auto"/>
      <w:jc w:val="both"/>
    </w:pPr>
    <w:rPr>
      <w:rFonts w:ascii="Arial" w:hAnsi="Arial" w:cs="Arial"/>
      <w:bCs/>
      <w:color w:val="auto"/>
      <w:sz w:val="24"/>
      <w:szCs w:val="18"/>
      <w:lang w:val="es-ES" w:eastAsia="es-ES"/>
    </w:rPr>
  </w:style>
  <w:style w:type="character" w:customStyle="1" w:styleId="TextoindependienteCar">
    <w:name w:val="Texto independiente Car"/>
    <w:basedOn w:val="Fuentedeprrafopredeter"/>
    <w:link w:val="Textoindependiente"/>
    <w:rsid w:val="00E272F2"/>
    <w:rPr>
      <w:rFonts w:ascii="Arial" w:eastAsia="Times New Roman" w:hAnsi="Arial" w:cs="Arial"/>
      <w:bCs/>
      <w:sz w:val="24"/>
      <w:szCs w:val="18"/>
      <w:lang w:eastAsia="es-ES"/>
    </w:rPr>
  </w:style>
  <w:style w:type="paragraph" w:styleId="Prrafodelista">
    <w:name w:val="List Paragraph"/>
    <w:basedOn w:val="Normal"/>
    <w:uiPriority w:val="34"/>
    <w:qFormat/>
    <w:rsid w:val="00E27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ldiabogota.gov.co/sisjur/normas/Norma1.jsp?i=654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2014-08-21T20:33:00Z</dcterms:created>
  <dcterms:modified xsi:type="dcterms:W3CDTF">2014-08-21T20:33:00Z</dcterms:modified>
</cp:coreProperties>
</file>