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1C" w:rsidRDefault="000C1776" w:rsidP="00FB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Franklin Gothic Book" w:hAnsi="Franklin Gothic Book"/>
          <w:b/>
          <w:sz w:val="36"/>
          <w:szCs w:val="36"/>
          <w:lang w:val="es-CO"/>
        </w:rPr>
      </w:pPr>
      <w:r w:rsidRPr="000C1776">
        <w:rPr>
          <w:rFonts w:ascii="Franklin Gothic Book" w:hAnsi="Franklin Gothic Book"/>
          <w:b/>
          <w:sz w:val="36"/>
          <w:szCs w:val="36"/>
          <w:lang w:val="es-CO"/>
        </w:rPr>
        <w:t>OBJECION DEL DICTAM</w:t>
      </w:r>
      <w:r>
        <w:rPr>
          <w:rFonts w:ascii="Franklin Gothic Book" w:hAnsi="Franklin Gothic Book"/>
          <w:b/>
          <w:sz w:val="36"/>
          <w:szCs w:val="36"/>
          <w:lang w:val="es-CO"/>
        </w:rPr>
        <w:t>EN</w:t>
      </w:r>
    </w:p>
    <w:p w:rsidR="000C1776" w:rsidRDefault="000C1776" w:rsidP="00FB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Franklin Gothic Book" w:hAnsi="Franklin Gothic Book"/>
          <w:b/>
          <w:sz w:val="36"/>
          <w:szCs w:val="36"/>
          <w:lang w:val="es-CO"/>
        </w:rPr>
      </w:pPr>
      <w:r>
        <w:rPr>
          <w:rFonts w:ascii="Franklin Gothic Book" w:hAnsi="Franklin Gothic Book"/>
          <w:b/>
          <w:sz w:val="36"/>
          <w:szCs w:val="36"/>
          <w:lang w:val="es-CO"/>
        </w:rPr>
        <w:t xml:space="preserve">POR ERROR GRAVE </w:t>
      </w:r>
    </w:p>
    <w:p w:rsidR="000C1776" w:rsidRPr="000C1776" w:rsidRDefault="000C1776" w:rsidP="000C1776">
      <w:pPr>
        <w:spacing w:line="240" w:lineRule="auto"/>
        <w:contextualSpacing/>
        <w:jc w:val="center"/>
        <w:rPr>
          <w:rFonts w:ascii="Franklin Gothic Book" w:hAnsi="Franklin Gothic Book"/>
          <w:sz w:val="24"/>
          <w:szCs w:val="24"/>
          <w:lang w:val="es-CO"/>
        </w:rPr>
      </w:pPr>
    </w:p>
    <w:p w:rsidR="000C1776" w:rsidRPr="00FB3D2A" w:rsidRDefault="000C1776" w:rsidP="000C1776">
      <w:pPr>
        <w:pStyle w:val="NormalWeb"/>
        <w:contextualSpacing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220"/>
      <w:r w:rsidRPr="00FB3D2A">
        <w:rPr>
          <w:rFonts w:ascii="Arial" w:hAnsi="Arial" w:cs="Arial"/>
          <w:bCs/>
          <w:sz w:val="28"/>
          <w:szCs w:val="28"/>
        </w:rPr>
        <w:t xml:space="preserve">El 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>artículo 220 del C.P.A.C.A.</w:t>
      </w:r>
      <w:r w:rsidRPr="00FB3D2A">
        <w:rPr>
          <w:rFonts w:ascii="Arial" w:hAnsi="Arial" w:cs="Arial"/>
          <w:bCs/>
          <w:sz w:val="28"/>
          <w:szCs w:val="28"/>
        </w:rPr>
        <w:t xml:space="preserve"> señala que el </w:t>
      </w:r>
      <w:r w:rsidRPr="00FB3D2A">
        <w:rPr>
          <w:rFonts w:ascii="Arial" w:hAnsi="Arial" w:cs="Arial"/>
          <w:b/>
          <w:bCs/>
          <w:color w:val="FF0000"/>
          <w:sz w:val="28"/>
          <w:szCs w:val="28"/>
        </w:rPr>
        <w:t>dictamen pericial podrá ser objetado por error grave, sin establecer el procedimiento para el trámite de la objeción.</w:t>
      </w:r>
    </w:p>
    <w:p w:rsidR="000C1776" w:rsidRPr="00FB3D2A" w:rsidRDefault="000C1776" w:rsidP="000C1776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FB3D2A">
        <w:rPr>
          <w:rFonts w:ascii="Arial" w:hAnsi="Arial" w:cs="Arial"/>
          <w:bCs/>
          <w:sz w:val="28"/>
          <w:szCs w:val="28"/>
        </w:rPr>
        <w:t xml:space="preserve"> </w:t>
      </w:r>
    </w:p>
    <w:p w:rsidR="000C1776" w:rsidRPr="00FB3D2A" w:rsidRDefault="000C1776" w:rsidP="000C1776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FB3D2A">
        <w:rPr>
          <w:rFonts w:ascii="Arial" w:hAnsi="Arial" w:cs="Arial"/>
          <w:bCs/>
          <w:sz w:val="28"/>
          <w:szCs w:val="28"/>
        </w:rPr>
        <w:t xml:space="preserve">Al remitirnos al 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>Código General del Proceso</w:t>
      </w:r>
      <w:r w:rsidRPr="00FB3D2A">
        <w:rPr>
          <w:rFonts w:ascii="Arial" w:hAnsi="Arial" w:cs="Arial"/>
          <w:bCs/>
          <w:sz w:val="28"/>
          <w:szCs w:val="28"/>
        </w:rPr>
        <w:t xml:space="preserve">, teniendo en cuenta la remisión que permiten los 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>artículos 218 y 306 del C.P.A.C.A</w:t>
      </w:r>
      <w:r w:rsidRPr="00FB3D2A">
        <w:rPr>
          <w:rFonts w:ascii="Arial" w:hAnsi="Arial" w:cs="Arial"/>
          <w:bCs/>
          <w:sz w:val="28"/>
          <w:szCs w:val="28"/>
        </w:rPr>
        <w:t>..</w:t>
      </w:r>
    </w:p>
    <w:p w:rsidR="000C1776" w:rsidRPr="00FB3D2A" w:rsidRDefault="000C1776" w:rsidP="000C1776">
      <w:pPr>
        <w:pStyle w:val="NormalWeb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:rsidR="000C1776" w:rsidRPr="00FB3D2A" w:rsidRDefault="000C1776" w:rsidP="000C1776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0C1776" w:rsidRPr="00FB3D2A" w:rsidRDefault="000C1776" w:rsidP="000C1776">
      <w:pPr>
        <w:pStyle w:val="NormalWeb"/>
        <w:ind w:left="567" w:right="707"/>
        <w:contextualSpacing/>
        <w:jc w:val="both"/>
        <w:rPr>
          <w:rFonts w:ascii="Arial" w:hAnsi="Arial" w:cs="Arial"/>
          <w:bCs/>
          <w:i/>
          <w:sz w:val="28"/>
          <w:szCs w:val="28"/>
        </w:rPr>
      </w:pPr>
      <w:bookmarkStart w:id="1" w:name="218"/>
      <w:r w:rsidRPr="00FB3D2A">
        <w:rPr>
          <w:rFonts w:ascii="Arial" w:hAnsi="Arial" w:cs="Arial"/>
          <w:bCs/>
          <w:i/>
          <w:sz w:val="28"/>
          <w:szCs w:val="28"/>
        </w:rPr>
        <w:t>ARTÍCULO 218. PRUEBA PERICIAL.</w:t>
      </w:r>
      <w:bookmarkEnd w:id="1"/>
      <w:r w:rsidRPr="00FB3D2A">
        <w:rPr>
          <w:rFonts w:ascii="Arial" w:hAnsi="Arial" w:cs="Arial"/>
          <w:bCs/>
          <w:i/>
          <w:sz w:val="28"/>
          <w:szCs w:val="28"/>
        </w:rPr>
        <w:t> </w:t>
      </w:r>
      <w:r w:rsidRPr="00FB3D2A">
        <w:rPr>
          <w:rFonts w:ascii="Arial" w:hAnsi="Arial" w:cs="Arial"/>
          <w:bCs/>
          <w:i/>
          <w:sz w:val="28"/>
          <w:szCs w:val="28"/>
          <w:highlight w:val="yellow"/>
        </w:rPr>
        <w:t>La prueba pericial se regirá por las normas del Código de Procedimiento Civil, salvo en lo que de manera expresa disponga este Código sobre la materia.</w:t>
      </w:r>
    </w:p>
    <w:p w:rsidR="000C1776" w:rsidRPr="00FB3D2A" w:rsidRDefault="000C1776" w:rsidP="000C1776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0C1776" w:rsidRPr="00FB3D2A" w:rsidRDefault="0098246B" w:rsidP="0098246B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FB3D2A">
        <w:rPr>
          <w:rFonts w:ascii="Arial" w:hAnsi="Arial" w:cs="Arial"/>
          <w:bCs/>
          <w:sz w:val="28"/>
          <w:szCs w:val="28"/>
        </w:rPr>
        <w:t xml:space="preserve">Se tiene que el 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>Código General del Proceso, en su artículo 228</w:t>
      </w:r>
      <w:r w:rsidRPr="00FB3D2A">
        <w:rPr>
          <w:rFonts w:ascii="Arial" w:hAnsi="Arial" w:cs="Arial"/>
          <w:bCs/>
          <w:sz w:val="28"/>
          <w:szCs w:val="28"/>
        </w:rPr>
        <w:t xml:space="preserve"> prevé que “</w:t>
      </w:r>
      <w:r w:rsidRPr="00FB3D2A">
        <w:rPr>
          <w:rFonts w:ascii="Arial" w:hAnsi="Arial" w:cs="Arial"/>
          <w:b/>
          <w:bCs/>
          <w:i/>
          <w:color w:val="FF0000"/>
          <w:sz w:val="28"/>
          <w:szCs w:val="28"/>
        </w:rPr>
        <w:t>En ningún caso habrá lugar a trámite especial de objeción del dictamen por error grave</w:t>
      </w:r>
      <w:r w:rsidRPr="00FB3D2A">
        <w:rPr>
          <w:rFonts w:ascii="Arial" w:hAnsi="Arial" w:cs="Arial"/>
          <w:bCs/>
          <w:sz w:val="28"/>
          <w:szCs w:val="28"/>
        </w:rPr>
        <w:t xml:space="preserve">”. </w:t>
      </w:r>
    </w:p>
    <w:p w:rsidR="0098246B" w:rsidRPr="00FB3D2A" w:rsidRDefault="0098246B" w:rsidP="0098246B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753E16" w:rsidRPr="00FB3D2A" w:rsidRDefault="0098246B" w:rsidP="00753E16">
      <w:pPr>
        <w:pStyle w:val="NormalWeb"/>
        <w:jc w:val="both"/>
        <w:rPr>
          <w:rFonts w:ascii="Arial" w:hAnsi="Arial" w:cs="Arial"/>
          <w:bCs/>
          <w:sz w:val="28"/>
          <w:szCs w:val="28"/>
        </w:rPr>
      </w:pPr>
      <w:r w:rsidRPr="00FB3D2A">
        <w:rPr>
          <w:rFonts w:ascii="Arial" w:hAnsi="Arial" w:cs="Arial"/>
          <w:bCs/>
          <w:sz w:val="28"/>
          <w:szCs w:val="28"/>
        </w:rPr>
        <w:t xml:space="preserve">Volviendo al 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 xml:space="preserve">C.P.A.C.A., </w:t>
      </w:r>
      <w:r w:rsidR="00753E16" w:rsidRPr="00FB3D2A">
        <w:rPr>
          <w:rFonts w:ascii="Arial" w:hAnsi="Arial" w:cs="Arial"/>
          <w:bCs/>
          <w:sz w:val="28"/>
          <w:szCs w:val="28"/>
          <w:highlight w:val="cyan"/>
        </w:rPr>
        <w:t xml:space="preserve">el </w:t>
      </w:r>
      <w:r w:rsidR="00753E16" w:rsidRPr="00FB3D2A">
        <w:rPr>
          <w:rFonts w:ascii="Arial" w:hAnsi="Arial" w:cs="Arial"/>
          <w:bCs/>
          <w:sz w:val="28"/>
          <w:szCs w:val="28"/>
          <w:highlight w:val="cyan"/>
        </w:rPr>
        <w:t xml:space="preserve">NUMERAL 1º </w:t>
      </w:r>
      <w:r w:rsidR="00753E16" w:rsidRPr="00FB3D2A">
        <w:rPr>
          <w:rFonts w:ascii="Arial" w:hAnsi="Arial" w:cs="Arial"/>
          <w:bCs/>
          <w:sz w:val="28"/>
          <w:szCs w:val="28"/>
          <w:highlight w:val="cyan"/>
        </w:rPr>
        <w:t xml:space="preserve">artículo 220 </w:t>
      </w:r>
      <w:r w:rsidR="00753E16" w:rsidRPr="00FB3D2A">
        <w:rPr>
          <w:rFonts w:ascii="Arial" w:hAnsi="Arial" w:cs="Arial"/>
          <w:bCs/>
          <w:sz w:val="28"/>
          <w:szCs w:val="28"/>
        </w:rPr>
        <w:t>consagra:</w:t>
      </w:r>
    </w:p>
    <w:p w:rsidR="00753E16" w:rsidRPr="00FB3D2A" w:rsidRDefault="00753E16" w:rsidP="00753E16">
      <w:pPr>
        <w:pStyle w:val="NormalWeb"/>
        <w:ind w:left="426" w:right="42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FB3D2A">
        <w:rPr>
          <w:rFonts w:ascii="Arial" w:hAnsi="Arial" w:cs="Arial"/>
          <w:b/>
          <w:bCs/>
          <w:i/>
          <w:sz w:val="28"/>
          <w:szCs w:val="28"/>
        </w:rPr>
        <w:t>“ARTÍCULO 220. CONTRADICCIÓN DEL DICTAMEN APORTADO POR LAS PARTES.</w:t>
      </w:r>
      <w:r w:rsidRPr="00FB3D2A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FB3D2A">
        <w:rPr>
          <w:rFonts w:ascii="Arial" w:hAnsi="Arial" w:cs="Arial"/>
          <w:i/>
          <w:sz w:val="28"/>
          <w:szCs w:val="28"/>
        </w:rPr>
        <w:t>Para la contradicción del dictamen se procederá así:</w:t>
      </w:r>
    </w:p>
    <w:p w:rsidR="00753E16" w:rsidRPr="00FB3D2A" w:rsidRDefault="00753E16" w:rsidP="00753E16">
      <w:pPr>
        <w:pStyle w:val="NormalWeb"/>
        <w:ind w:left="426" w:right="424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 w:rsidRPr="00FB3D2A">
        <w:rPr>
          <w:rFonts w:ascii="Arial" w:hAnsi="Arial" w:cs="Arial"/>
          <w:i/>
          <w:sz w:val="28"/>
          <w:szCs w:val="28"/>
        </w:rPr>
        <w:t>1. En la audiencia inicial se formularán las objeciones al dictamen y se solicitarán las aclaraciones y adiciones, que deberán tener relación directa con la cuestión materia del dictamen</w:t>
      </w:r>
      <w:r w:rsidRPr="00FB3D2A">
        <w:rPr>
          <w:rFonts w:ascii="Arial" w:hAnsi="Arial" w:cs="Arial"/>
          <w:b/>
          <w:i/>
          <w:sz w:val="28"/>
          <w:szCs w:val="28"/>
          <w:highlight w:val="yellow"/>
        </w:rPr>
        <w:t>. La objeción podrá sustentarse con otro dictamen pericial de parte o solicitando la práctica de un nuevo dictamen, caso en el cual la designación del perito se hará en el auto que abra a prueba el proceso</w:t>
      </w:r>
      <w:r w:rsidRPr="00FB3D2A">
        <w:rPr>
          <w:rFonts w:ascii="Arial" w:hAnsi="Arial" w:cs="Arial"/>
          <w:i/>
          <w:sz w:val="28"/>
          <w:szCs w:val="28"/>
        </w:rPr>
        <w:t xml:space="preserve">. </w:t>
      </w:r>
      <w:r w:rsidRPr="00FB3D2A">
        <w:rPr>
          <w:rFonts w:ascii="Arial" w:hAnsi="Arial" w:cs="Arial"/>
          <w:b/>
          <w:i/>
          <w:sz w:val="28"/>
          <w:szCs w:val="28"/>
          <w:highlight w:val="yellow"/>
        </w:rPr>
        <w:t>También podrá sustentarse solicitando la declaración de testigos técnicos que, habiendo tenido participación en los hechos materia del proceso, tengan conocimientos profesionales o especializados en la materia.</w:t>
      </w:r>
    </w:p>
    <w:p w:rsidR="00753E16" w:rsidRPr="00FB3D2A" w:rsidRDefault="00753E16" w:rsidP="0098246B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  <w:highlight w:val="cyan"/>
        </w:rPr>
      </w:pPr>
    </w:p>
    <w:p w:rsidR="00753E16" w:rsidRPr="00FB3D2A" w:rsidRDefault="00753E16" w:rsidP="0098246B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  <w:highlight w:val="cyan"/>
        </w:rPr>
      </w:pPr>
    </w:p>
    <w:p w:rsidR="0098246B" w:rsidRPr="00FB3D2A" w:rsidRDefault="00753E16" w:rsidP="0098246B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FB3D2A">
        <w:rPr>
          <w:rFonts w:ascii="Arial" w:hAnsi="Arial" w:cs="Arial"/>
          <w:bCs/>
          <w:sz w:val="28"/>
          <w:szCs w:val="28"/>
        </w:rPr>
        <w:t xml:space="preserve">Así mismo </w:t>
      </w:r>
      <w:r w:rsidR="0098246B" w:rsidRPr="00FB3D2A">
        <w:rPr>
          <w:rFonts w:ascii="Arial" w:hAnsi="Arial" w:cs="Arial"/>
          <w:bCs/>
          <w:sz w:val="28"/>
          <w:szCs w:val="28"/>
          <w:highlight w:val="cyan"/>
        </w:rPr>
        <w:t xml:space="preserve">el 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 xml:space="preserve">inciso 3º del </w:t>
      </w:r>
      <w:r w:rsidR="0098246B" w:rsidRPr="00FB3D2A">
        <w:rPr>
          <w:rFonts w:ascii="Arial" w:hAnsi="Arial" w:cs="Arial"/>
          <w:bCs/>
          <w:sz w:val="28"/>
          <w:szCs w:val="28"/>
          <w:highlight w:val="cyan"/>
        </w:rPr>
        <w:t>artículo 221</w:t>
      </w:r>
      <w:r w:rsidRPr="00FB3D2A">
        <w:rPr>
          <w:rFonts w:ascii="Arial" w:hAnsi="Arial" w:cs="Arial"/>
          <w:bCs/>
          <w:sz w:val="28"/>
          <w:szCs w:val="28"/>
          <w:highlight w:val="cyan"/>
        </w:rPr>
        <w:t xml:space="preserve"> del C.P.A.C.A.</w:t>
      </w:r>
      <w:r w:rsidR="0098246B" w:rsidRPr="00FB3D2A">
        <w:rPr>
          <w:rFonts w:ascii="Arial" w:hAnsi="Arial" w:cs="Arial"/>
          <w:bCs/>
          <w:sz w:val="28"/>
          <w:szCs w:val="28"/>
        </w:rPr>
        <w:t xml:space="preserve"> establece:</w:t>
      </w:r>
    </w:p>
    <w:p w:rsidR="0098246B" w:rsidRPr="00FB3D2A" w:rsidRDefault="0098246B" w:rsidP="0098246B">
      <w:pPr>
        <w:pStyle w:val="NormalWeb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753E16" w:rsidRPr="00FB3D2A" w:rsidRDefault="0098246B" w:rsidP="0098246B">
      <w:pPr>
        <w:pStyle w:val="NormalWeb"/>
        <w:ind w:left="426" w:right="424"/>
        <w:contextualSpacing/>
        <w:jc w:val="both"/>
        <w:rPr>
          <w:rFonts w:ascii="Arial" w:hAnsi="Arial" w:cs="Arial"/>
          <w:bCs/>
          <w:i/>
          <w:sz w:val="28"/>
          <w:szCs w:val="28"/>
        </w:rPr>
      </w:pPr>
      <w:r w:rsidRPr="00FB3D2A">
        <w:rPr>
          <w:rFonts w:ascii="Arial" w:hAnsi="Arial" w:cs="Arial"/>
          <w:bCs/>
          <w:i/>
          <w:sz w:val="28"/>
          <w:szCs w:val="28"/>
        </w:rPr>
        <w:t xml:space="preserve">“ARTICULO 221: </w:t>
      </w:r>
      <w:r w:rsidR="00753E16" w:rsidRPr="00FB3D2A">
        <w:rPr>
          <w:rFonts w:ascii="Arial" w:hAnsi="Arial" w:cs="Arial"/>
          <w:bCs/>
          <w:i/>
          <w:sz w:val="28"/>
          <w:szCs w:val="28"/>
        </w:rPr>
        <w:t>(…)</w:t>
      </w:r>
    </w:p>
    <w:p w:rsidR="00753E16" w:rsidRPr="00FB3D2A" w:rsidRDefault="00753E16" w:rsidP="0098246B">
      <w:pPr>
        <w:pStyle w:val="NormalWeb"/>
        <w:ind w:left="426" w:right="424"/>
        <w:contextualSpacing/>
        <w:jc w:val="both"/>
        <w:rPr>
          <w:rFonts w:ascii="Arial" w:hAnsi="Arial" w:cs="Arial"/>
          <w:bCs/>
          <w:i/>
          <w:sz w:val="28"/>
          <w:szCs w:val="28"/>
        </w:rPr>
      </w:pPr>
    </w:p>
    <w:p w:rsidR="0098246B" w:rsidRPr="00FB3D2A" w:rsidRDefault="0098246B" w:rsidP="0098246B">
      <w:pPr>
        <w:pStyle w:val="NormalWeb"/>
        <w:ind w:left="426" w:right="424"/>
        <w:contextualSpacing/>
        <w:jc w:val="both"/>
        <w:rPr>
          <w:rFonts w:ascii="Arial" w:hAnsi="Arial" w:cs="Arial"/>
          <w:bCs/>
          <w:i/>
          <w:sz w:val="28"/>
          <w:szCs w:val="28"/>
        </w:rPr>
      </w:pPr>
      <w:r w:rsidRPr="00FB3D2A">
        <w:rPr>
          <w:rFonts w:ascii="Arial" w:hAnsi="Arial" w:cs="Arial"/>
          <w:b/>
          <w:bCs/>
          <w:i/>
          <w:sz w:val="28"/>
          <w:szCs w:val="28"/>
          <w:highlight w:val="yellow"/>
        </w:rPr>
        <w:lastRenderedPageBreak/>
        <w:t>Antes del vencimiento del traslado del escrito de objeciones</w:t>
      </w:r>
      <w:r w:rsidRPr="00FB3D2A">
        <w:rPr>
          <w:rFonts w:ascii="Arial" w:hAnsi="Arial" w:cs="Arial"/>
          <w:bCs/>
          <w:i/>
          <w:sz w:val="28"/>
          <w:szCs w:val="28"/>
        </w:rPr>
        <w:t xml:space="preserve">, el objetante deberá presentar al despacho correspondiente, el comprobante del pago de los honorarios a su cargo hecho directamente al perito o los títulos de los depósitos judiciales, los cuales se le entregarán al perito sin necesidad de auto que lo ordene. </w:t>
      </w:r>
      <w:r w:rsidRPr="00FB3D2A">
        <w:rPr>
          <w:rFonts w:ascii="Arial" w:hAnsi="Arial" w:cs="Arial"/>
          <w:b/>
          <w:bCs/>
          <w:i/>
          <w:sz w:val="28"/>
          <w:szCs w:val="28"/>
          <w:highlight w:val="yellow"/>
        </w:rPr>
        <w:t>En caso de inobservancia en el pago de los honorarios de los peritos dentro del término anterior, se entenderá desistida la objeción</w:t>
      </w:r>
      <w:r w:rsidRPr="00FB3D2A">
        <w:rPr>
          <w:rFonts w:ascii="Arial" w:hAnsi="Arial" w:cs="Arial"/>
          <w:bCs/>
          <w:i/>
          <w:sz w:val="28"/>
          <w:szCs w:val="28"/>
        </w:rPr>
        <w:t xml:space="preserve">.” </w:t>
      </w:r>
    </w:p>
    <w:p w:rsidR="0098246B" w:rsidRPr="00FB3D2A" w:rsidRDefault="0098246B" w:rsidP="000C1776">
      <w:pPr>
        <w:pStyle w:val="NormalWeb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0"/>
    <w:p w:rsidR="000C1776" w:rsidRPr="00FB3D2A" w:rsidRDefault="000C1776" w:rsidP="00753E16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es-CO"/>
        </w:rPr>
      </w:pPr>
    </w:p>
    <w:p w:rsidR="00753E16" w:rsidRPr="00FB3D2A" w:rsidRDefault="00753E16" w:rsidP="00753E16">
      <w:pPr>
        <w:spacing w:line="240" w:lineRule="auto"/>
        <w:contextualSpacing/>
        <w:rPr>
          <w:rFonts w:ascii="Arial" w:hAnsi="Arial" w:cs="Arial"/>
          <w:b/>
          <w:color w:val="FF0000"/>
          <w:sz w:val="28"/>
          <w:szCs w:val="28"/>
          <w:u w:val="single"/>
          <w:lang w:val="es-CO"/>
        </w:rPr>
      </w:pPr>
      <w:r w:rsidRPr="00FB3D2A">
        <w:rPr>
          <w:rFonts w:ascii="Arial" w:hAnsi="Arial" w:cs="Arial"/>
          <w:b/>
          <w:color w:val="FF0000"/>
          <w:sz w:val="28"/>
          <w:szCs w:val="28"/>
          <w:u w:val="single"/>
          <w:lang w:val="es-CO"/>
        </w:rPr>
        <w:t>CONCLUSION TRÁMITE:</w:t>
      </w:r>
    </w:p>
    <w:p w:rsidR="00753E16" w:rsidRPr="00FB3D2A" w:rsidRDefault="00753E16" w:rsidP="00753E16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es-CO"/>
        </w:rPr>
      </w:pPr>
    </w:p>
    <w:p w:rsidR="00753E16" w:rsidRPr="00FB3D2A" w:rsidRDefault="00753E16" w:rsidP="00753E16">
      <w:pPr>
        <w:pStyle w:val="Prrafodelista"/>
        <w:numPr>
          <w:ilvl w:val="0"/>
          <w:numId w:val="1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 xml:space="preserve">La 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objeción por error grave deberá tener relación directa con la cuestión materia del dictamen. 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Podrá sustentarse:</w:t>
      </w:r>
    </w:p>
    <w:p w:rsidR="00753E16" w:rsidRPr="00FB3D2A" w:rsidRDefault="00753E16" w:rsidP="00753E16">
      <w:pPr>
        <w:pStyle w:val="Prrafodelista"/>
        <w:numPr>
          <w:ilvl w:val="0"/>
          <w:numId w:val="2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>Con otro dictamen pericial de parte,</w:t>
      </w:r>
    </w:p>
    <w:p w:rsidR="00753E16" w:rsidRPr="00FB3D2A" w:rsidRDefault="00753E16" w:rsidP="00753E16">
      <w:pPr>
        <w:pStyle w:val="Prrafodelista"/>
        <w:numPr>
          <w:ilvl w:val="0"/>
          <w:numId w:val="2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>O solicitando la práctica de un nuevo dictamen.</w:t>
      </w:r>
    </w:p>
    <w:p w:rsidR="00753E16" w:rsidRPr="00FB3D2A" w:rsidRDefault="00753E16" w:rsidP="00753E16">
      <w:pPr>
        <w:pStyle w:val="Prrafodelista"/>
        <w:numPr>
          <w:ilvl w:val="0"/>
          <w:numId w:val="2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>También podrá sustentarse solicitando la declaración de testigos técnicos, que habiendo tenido participación en los hechos materia del proceso, tengan conocimiento profesionales o especializados en la materia (</w:t>
      </w:r>
      <w:r w:rsidRPr="00FB3D2A">
        <w:rPr>
          <w:rFonts w:ascii="Arial" w:hAnsi="Arial" w:cs="Arial"/>
          <w:sz w:val="28"/>
          <w:szCs w:val="28"/>
          <w:highlight w:val="cyan"/>
          <w:lang w:val="es-CO"/>
        </w:rPr>
        <w:t>numeral 1º del Articulo 220 del C.P.A.C.A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). </w:t>
      </w:r>
    </w:p>
    <w:p w:rsidR="00753E16" w:rsidRPr="00FB3D2A" w:rsidRDefault="00753E16" w:rsidP="00753E16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753E16" w:rsidRPr="00FB3D2A" w:rsidRDefault="00753E16" w:rsidP="00753E16">
      <w:pPr>
        <w:pStyle w:val="Prrafodelista"/>
        <w:numPr>
          <w:ilvl w:val="0"/>
          <w:numId w:val="1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 xml:space="preserve">De la 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objeción por error grave 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debe 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correrse traslado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 a las partes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 (</w:t>
      </w:r>
      <w:r w:rsidRPr="00FB3D2A">
        <w:rPr>
          <w:rFonts w:ascii="Arial" w:hAnsi="Arial" w:cs="Arial"/>
          <w:sz w:val="28"/>
          <w:szCs w:val="28"/>
          <w:highlight w:val="cyan"/>
          <w:lang w:val="es-CO"/>
        </w:rPr>
        <w:t>inciso 3º artículo 221 del C.P.A.C.A.</w:t>
      </w:r>
      <w:r w:rsidRPr="00FB3D2A">
        <w:rPr>
          <w:rFonts w:ascii="Arial" w:hAnsi="Arial" w:cs="Arial"/>
          <w:sz w:val="28"/>
          <w:szCs w:val="28"/>
          <w:lang w:val="es-CO"/>
        </w:rPr>
        <w:t>)</w:t>
      </w:r>
      <w:r w:rsidR="00FB3D2A">
        <w:rPr>
          <w:rFonts w:ascii="Arial" w:hAnsi="Arial" w:cs="Arial"/>
          <w:sz w:val="28"/>
          <w:szCs w:val="28"/>
          <w:lang w:val="es-CO"/>
        </w:rPr>
        <w:t>.</w:t>
      </w:r>
    </w:p>
    <w:p w:rsidR="00753E16" w:rsidRPr="00FB3D2A" w:rsidRDefault="00753E16" w:rsidP="00753E16">
      <w:pPr>
        <w:spacing w:line="24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753E16" w:rsidRPr="00FB3D2A" w:rsidRDefault="00753E16" w:rsidP="00753E16">
      <w:pPr>
        <w:pStyle w:val="Prrafodelista"/>
        <w:numPr>
          <w:ilvl w:val="0"/>
          <w:numId w:val="1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 xml:space="preserve">En caso de inobservancia en el pago de los honorarios de los peritos dentro del término de traslado de la objeción por error grave, 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se entenderá desistida la objeción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 (</w:t>
      </w:r>
      <w:r w:rsidRPr="00FB3D2A">
        <w:rPr>
          <w:rFonts w:ascii="Arial" w:hAnsi="Arial" w:cs="Arial"/>
          <w:sz w:val="28"/>
          <w:szCs w:val="28"/>
          <w:highlight w:val="cyan"/>
          <w:lang w:val="es-CO"/>
        </w:rPr>
        <w:t>inciso 3º artículo 221 del C.P.A.C.A.</w:t>
      </w:r>
      <w:r w:rsidRPr="00FB3D2A">
        <w:rPr>
          <w:rFonts w:ascii="Arial" w:hAnsi="Arial" w:cs="Arial"/>
          <w:sz w:val="28"/>
          <w:szCs w:val="28"/>
          <w:lang w:val="es-CO"/>
        </w:rPr>
        <w:t>)</w:t>
      </w:r>
      <w:r w:rsidRPr="00FB3D2A">
        <w:rPr>
          <w:rFonts w:ascii="Arial" w:hAnsi="Arial" w:cs="Arial"/>
          <w:sz w:val="28"/>
          <w:szCs w:val="28"/>
          <w:lang w:val="es-CO"/>
        </w:rPr>
        <w:t>.</w:t>
      </w:r>
    </w:p>
    <w:p w:rsidR="00753E16" w:rsidRPr="00FB3D2A" w:rsidRDefault="00753E16" w:rsidP="00753E16">
      <w:pPr>
        <w:pStyle w:val="Prrafodelista"/>
        <w:rPr>
          <w:rFonts w:ascii="Arial" w:hAnsi="Arial" w:cs="Arial"/>
          <w:sz w:val="28"/>
          <w:szCs w:val="28"/>
          <w:lang w:val="es-CO"/>
        </w:rPr>
      </w:pPr>
    </w:p>
    <w:p w:rsidR="00753E16" w:rsidRPr="00FB3D2A" w:rsidRDefault="00753E16" w:rsidP="00753E16">
      <w:pPr>
        <w:pStyle w:val="Prrafodelista"/>
        <w:numPr>
          <w:ilvl w:val="0"/>
          <w:numId w:val="1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 xml:space="preserve">En caso de acreditarse el pago de los honorarios del perito dentro del término de traslado de la objeción por error grave, 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d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ebe resolverse sobre la solicitud de pruebas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 o decretar las de oficio que se consideren pertinentes. </w:t>
      </w:r>
    </w:p>
    <w:p w:rsidR="00753E16" w:rsidRPr="00FB3D2A" w:rsidRDefault="00753E16" w:rsidP="00753E16">
      <w:pPr>
        <w:pStyle w:val="Prrafodelista"/>
        <w:rPr>
          <w:rFonts w:ascii="Arial" w:hAnsi="Arial" w:cs="Arial"/>
          <w:sz w:val="28"/>
          <w:szCs w:val="28"/>
          <w:lang w:val="es-CO"/>
        </w:rPr>
      </w:pPr>
    </w:p>
    <w:p w:rsidR="00753E16" w:rsidRPr="00FB3D2A" w:rsidRDefault="00753E16" w:rsidP="00753E16">
      <w:pPr>
        <w:pStyle w:val="Prrafodelista"/>
        <w:numPr>
          <w:ilvl w:val="0"/>
          <w:numId w:val="1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 xml:space="preserve">Recaudadas las pruebas 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debe correrse traslado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 (</w:t>
      </w:r>
      <w:r w:rsidRPr="00FB3D2A">
        <w:rPr>
          <w:rFonts w:ascii="Arial" w:hAnsi="Arial" w:cs="Arial"/>
          <w:sz w:val="28"/>
          <w:szCs w:val="28"/>
          <w:highlight w:val="cyan"/>
          <w:lang w:val="es-CO"/>
        </w:rPr>
        <w:t>artículo 181 C.P.A.C.A.</w:t>
      </w:r>
      <w:r w:rsidRPr="00FB3D2A">
        <w:rPr>
          <w:rFonts w:ascii="Arial" w:hAnsi="Arial" w:cs="Arial"/>
          <w:sz w:val="28"/>
          <w:szCs w:val="28"/>
          <w:lang w:val="es-CO"/>
        </w:rPr>
        <w:t>).</w:t>
      </w:r>
    </w:p>
    <w:p w:rsidR="00753E16" w:rsidRPr="00FB3D2A" w:rsidRDefault="00753E16" w:rsidP="00753E16">
      <w:pPr>
        <w:pStyle w:val="Prrafodelista"/>
        <w:rPr>
          <w:rFonts w:ascii="Arial" w:hAnsi="Arial" w:cs="Arial"/>
          <w:sz w:val="28"/>
          <w:szCs w:val="28"/>
          <w:lang w:val="es-CO"/>
        </w:rPr>
      </w:pPr>
    </w:p>
    <w:p w:rsidR="00753E16" w:rsidRPr="00FB3D2A" w:rsidRDefault="00753E16" w:rsidP="00753E16">
      <w:pPr>
        <w:pStyle w:val="Prrafodelista"/>
        <w:numPr>
          <w:ilvl w:val="0"/>
          <w:numId w:val="1"/>
        </w:num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lastRenderedPageBreak/>
        <w:t xml:space="preserve">Decidir </w:t>
      </w:r>
      <w:r w:rsidR="00FB3D2A" w:rsidRPr="00FB3D2A">
        <w:rPr>
          <w:rFonts w:ascii="Arial" w:hAnsi="Arial" w:cs="Arial"/>
          <w:sz w:val="28"/>
          <w:szCs w:val="28"/>
          <w:highlight w:val="yellow"/>
          <w:lang w:val="es-CO"/>
        </w:rPr>
        <w:t>sobre la objeción</w:t>
      </w:r>
      <w:r w:rsidR="00FB3D2A" w:rsidRPr="00FB3D2A">
        <w:rPr>
          <w:rFonts w:ascii="Arial" w:hAnsi="Arial" w:cs="Arial"/>
          <w:sz w:val="28"/>
          <w:szCs w:val="28"/>
          <w:lang w:val="es-CO"/>
        </w:rPr>
        <w:t xml:space="preserve"> (</w:t>
      </w:r>
      <w:r w:rsidR="00FB3D2A" w:rsidRPr="00FB3D2A">
        <w:rPr>
          <w:rFonts w:ascii="Arial" w:hAnsi="Arial" w:cs="Arial"/>
          <w:b/>
          <w:color w:val="FF0000"/>
          <w:sz w:val="28"/>
          <w:szCs w:val="28"/>
          <w:lang w:val="es-CO"/>
        </w:rPr>
        <w:t>El C.P.A.C.A ni el C.G.P. establecen el momento en que debe resolverse la objeción</w:t>
      </w:r>
      <w:r w:rsidR="00FB3D2A" w:rsidRPr="00FB3D2A">
        <w:rPr>
          <w:rFonts w:ascii="Arial" w:hAnsi="Arial" w:cs="Arial"/>
          <w:sz w:val="28"/>
          <w:szCs w:val="28"/>
          <w:lang w:val="es-CO"/>
        </w:rPr>
        <w:t xml:space="preserve">). </w:t>
      </w:r>
      <w:bookmarkStart w:id="2" w:name="_GoBack"/>
      <w:bookmarkEnd w:id="2"/>
    </w:p>
    <w:p w:rsidR="00FB3D2A" w:rsidRDefault="00FB3D2A" w:rsidP="00FB3D2A">
      <w:pPr>
        <w:spacing w:line="240" w:lineRule="auto"/>
        <w:ind w:right="-1"/>
        <w:jc w:val="both"/>
        <w:rPr>
          <w:rFonts w:ascii="Arial" w:hAnsi="Arial" w:cs="Arial"/>
          <w:sz w:val="28"/>
          <w:szCs w:val="28"/>
          <w:highlight w:val="cyan"/>
          <w:lang w:val="es-CO"/>
        </w:rPr>
      </w:pPr>
    </w:p>
    <w:p w:rsidR="00753E16" w:rsidRPr="00FB3D2A" w:rsidRDefault="00FB3D2A" w:rsidP="00FB3D2A">
      <w:pPr>
        <w:spacing w:line="240" w:lineRule="auto"/>
        <w:ind w:right="-1"/>
        <w:jc w:val="both"/>
        <w:rPr>
          <w:rFonts w:ascii="Arial" w:hAnsi="Arial" w:cs="Arial"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highlight w:val="cyan"/>
          <w:lang w:val="es-CO"/>
        </w:rPr>
        <w:t>ARTÍCULO 232 del CG.P.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 </w:t>
      </w:r>
      <w:r w:rsidRPr="00FB3D2A">
        <w:rPr>
          <w:rFonts w:ascii="Arial" w:hAnsi="Arial" w:cs="Arial"/>
          <w:b/>
          <w:sz w:val="28"/>
          <w:szCs w:val="28"/>
          <w:lang w:val="es-CO"/>
        </w:rPr>
        <w:t>APRECIACIÓN DEL DICTAMEN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. </w:t>
      </w:r>
      <w:r w:rsidRPr="00FB3D2A">
        <w:rPr>
          <w:rFonts w:ascii="Arial" w:hAnsi="Arial" w:cs="Arial"/>
          <w:sz w:val="28"/>
          <w:szCs w:val="28"/>
          <w:highlight w:val="yellow"/>
          <w:lang w:val="es-CO"/>
        </w:rPr>
        <w:t>El juez apreciará el dictamen de acuerdo con las reglas de la sana crítica</w:t>
      </w:r>
      <w:r w:rsidRPr="00FB3D2A">
        <w:rPr>
          <w:rFonts w:ascii="Arial" w:hAnsi="Arial" w:cs="Arial"/>
          <w:sz w:val="28"/>
          <w:szCs w:val="28"/>
          <w:lang w:val="es-CO"/>
        </w:rPr>
        <w:t>, teniendo en cuenta la solidez, claridad, exhaustividad, precisión y calidad de sus fundamentos, la idoneidad del perito y su comportamiento en la audiencia, y las demás pruebas que obren en el proceso.</w:t>
      </w:r>
    </w:p>
    <w:p w:rsidR="00753E16" w:rsidRPr="00FB3D2A" w:rsidRDefault="00753E16" w:rsidP="00753E16">
      <w:pPr>
        <w:spacing w:line="240" w:lineRule="auto"/>
        <w:ind w:right="566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p w:rsidR="00753E16" w:rsidRPr="00FB3D2A" w:rsidRDefault="00753E16" w:rsidP="00753E16">
      <w:pPr>
        <w:spacing w:line="240" w:lineRule="auto"/>
        <w:ind w:right="566"/>
        <w:contextualSpacing/>
        <w:jc w:val="both"/>
        <w:rPr>
          <w:rFonts w:ascii="Arial" w:hAnsi="Arial" w:cs="Arial"/>
          <w:b/>
          <w:sz w:val="28"/>
          <w:szCs w:val="28"/>
          <w:u w:val="single"/>
          <w:lang w:val="es-CO"/>
        </w:rPr>
      </w:pPr>
      <w:r w:rsidRPr="00FB3D2A">
        <w:rPr>
          <w:rFonts w:ascii="Arial" w:hAnsi="Arial" w:cs="Arial"/>
          <w:b/>
          <w:sz w:val="28"/>
          <w:szCs w:val="28"/>
          <w:u w:val="single"/>
          <w:lang w:val="es-CO"/>
        </w:rPr>
        <w:t>RECURSO PROCEDENTE</w:t>
      </w:r>
    </w:p>
    <w:p w:rsidR="00753E16" w:rsidRPr="00FB3D2A" w:rsidRDefault="00753E16" w:rsidP="00753E16">
      <w:pPr>
        <w:spacing w:line="240" w:lineRule="auto"/>
        <w:contextualSpacing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FB3D2A">
        <w:rPr>
          <w:rFonts w:ascii="Arial" w:hAnsi="Arial" w:cs="Arial"/>
          <w:b/>
          <w:sz w:val="28"/>
          <w:szCs w:val="28"/>
          <w:lang w:val="es-CO"/>
        </w:rPr>
        <w:t xml:space="preserve"> </w:t>
      </w:r>
    </w:p>
    <w:p w:rsidR="00753E16" w:rsidRPr="00FB3D2A" w:rsidRDefault="00753E16" w:rsidP="00753E16">
      <w:pPr>
        <w:spacing w:line="240" w:lineRule="auto"/>
        <w:contextualSpacing/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FB3D2A">
        <w:rPr>
          <w:rFonts w:ascii="Arial" w:hAnsi="Arial" w:cs="Arial"/>
          <w:sz w:val="28"/>
          <w:szCs w:val="28"/>
          <w:lang w:val="es-CO"/>
        </w:rPr>
        <w:t xml:space="preserve">Procede </w:t>
      </w:r>
      <w:r w:rsidRPr="00FB3D2A">
        <w:rPr>
          <w:rFonts w:ascii="Arial" w:hAnsi="Arial" w:cs="Arial"/>
          <w:b/>
          <w:color w:val="FF0000"/>
          <w:sz w:val="28"/>
          <w:szCs w:val="28"/>
          <w:lang w:val="es-CO"/>
        </w:rPr>
        <w:t>recurso de reposición</w:t>
      </w:r>
      <w:r w:rsidRPr="00FB3D2A">
        <w:rPr>
          <w:rFonts w:ascii="Arial" w:hAnsi="Arial" w:cs="Arial"/>
          <w:color w:val="FF0000"/>
          <w:sz w:val="28"/>
          <w:szCs w:val="28"/>
          <w:lang w:val="es-CO"/>
        </w:rPr>
        <w:t xml:space="preserve"> </w:t>
      </w:r>
      <w:r w:rsidRPr="00FB3D2A">
        <w:rPr>
          <w:rFonts w:ascii="Arial" w:hAnsi="Arial" w:cs="Arial"/>
          <w:sz w:val="28"/>
          <w:szCs w:val="28"/>
          <w:lang w:val="es-CO"/>
        </w:rPr>
        <w:t xml:space="preserve">según lo establecido en el </w:t>
      </w:r>
      <w:r w:rsidRPr="00FB3D2A">
        <w:rPr>
          <w:rFonts w:ascii="Arial" w:hAnsi="Arial" w:cs="Arial"/>
          <w:sz w:val="28"/>
          <w:szCs w:val="28"/>
          <w:highlight w:val="cyan"/>
          <w:lang w:val="es-CO"/>
        </w:rPr>
        <w:t>artículo 242 del C.P.A.C.A.</w:t>
      </w:r>
    </w:p>
    <w:p w:rsidR="00753E16" w:rsidRPr="00FB3D2A" w:rsidRDefault="00753E16" w:rsidP="00753E16">
      <w:pPr>
        <w:spacing w:line="240" w:lineRule="auto"/>
        <w:contextualSpacing/>
        <w:rPr>
          <w:rFonts w:ascii="Arial" w:hAnsi="Arial" w:cs="Arial"/>
          <w:b/>
          <w:sz w:val="28"/>
          <w:szCs w:val="28"/>
          <w:lang w:val="es-CO"/>
        </w:rPr>
      </w:pPr>
    </w:p>
    <w:p w:rsidR="000C1776" w:rsidRPr="00FB3D2A" w:rsidRDefault="000C1776" w:rsidP="000C1776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  <w:lang w:val="es-CO"/>
        </w:rPr>
      </w:pPr>
    </w:p>
    <w:sectPr w:rsidR="000C1776" w:rsidRPr="00FB3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B6841"/>
    <w:multiLevelType w:val="hybridMultilevel"/>
    <w:tmpl w:val="993E6A76"/>
    <w:lvl w:ilvl="0" w:tplc="3A1CB66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B61469"/>
    <w:multiLevelType w:val="hybridMultilevel"/>
    <w:tmpl w:val="8C40D4A4"/>
    <w:lvl w:ilvl="0" w:tplc="382C3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76"/>
    <w:rsid w:val="000C1776"/>
    <w:rsid w:val="000C231C"/>
    <w:rsid w:val="00753E16"/>
    <w:rsid w:val="007824AD"/>
    <w:rsid w:val="0098246B"/>
    <w:rsid w:val="00F477CD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15B66B-1388-4F98-AAC6-2AE04774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C1776"/>
  </w:style>
  <w:style w:type="character" w:styleId="Hipervnculo">
    <w:name w:val="Hyperlink"/>
    <w:basedOn w:val="Fuentedeprrafopredeter"/>
    <w:uiPriority w:val="99"/>
    <w:semiHidden/>
    <w:unhideWhenUsed/>
    <w:rsid w:val="000C17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2014-08-22T15:40:00Z</dcterms:created>
  <dcterms:modified xsi:type="dcterms:W3CDTF">2014-08-22T16:29:00Z</dcterms:modified>
</cp:coreProperties>
</file>